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24" w:rsidRPr="0015655E" w:rsidRDefault="00801224" w:rsidP="00801224">
      <w:pPr>
        <w:jc w:val="right"/>
        <w:rPr>
          <w:rFonts w:ascii="Times New Roman" w:hAnsi="Times New Roman" w:cs="Times New Roman"/>
          <w:b/>
          <w:bCs/>
          <w:sz w:val="20"/>
          <w:szCs w:val="20"/>
        </w:rPr>
      </w:pPr>
      <w:r w:rsidRPr="0015655E">
        <w:rPr>
          <w:rFonts w:ascii="Times New Roman" w:hAnsi="Times New Roman" w:cs="Times New Roman"/>
          <w:b/>
          <w:bCs/>
          <w:sz w:val="20"/>
          <w:szCs w:val="20"/>
        </w:rPr>
        <w:t xml:space="preserve">Приложение № 9   </w:t>
      </w:r>
    </w:p>
    <w:p w:rsidR="00801224" w:rsidRPr="0015655E" w:rsidRDefault="00801224" w:rsidP="00801224">
      <w:pPr>
        <w:tabs>
          <w:tab w:val="left" w:pos="540"/>
        </w:tabs>
        <w:ind w:left="426"/>
        <w:jc w:val="right"/>
        <w:rPr>
          <w:rFonts w:ascii="Times New Roman" w:hAnsi="Times New Roman" w:cs="Times New Roman"/>
          <w:b/>
          <w:sz w:val="20"/>
          <w:szCs w:val="20"/>
        </w:rPr>
      </w:pPr>
      <w:r w:rsidRPr="0015655E">
        <w:rPr>
          <w:rFonts w:ascii="Times New Roman" w:hAnsi="Times New Roman" w:cs="Times New Roman"/>
          <w:b/>
          <w:sz w:val="20"/>
          <w:szCs w:val="20"/>
        </w:rPr>
        <w:t xml:space="preserve">к Инструкции об этапах, </w:t>
      </w:r>
    </w:p>
    <w:p w:rsidR="00801224" w:rsidRPr="0015655E" w:rsidRDefault="00801224" w:rsidP="00801224">
      <w:pPr>
        <w:tabs>
          <w:tab w:val="left" w:pos="540"/>
        </w:tabs>
        <w:ind w:left="426"/>
        <w:jc w:val="right"/>
        <w:rPr>
          <w:rFonts w:ascii="Times New Roman" w:hAnsi="Times New Roman" w:cs="Times New Roman"/>
          <w:b/>
          <w:sz w:val="20"/>
          <w:szCs w:val="20"/>
        </w:rPr>
      </w:pPr>
      <w:proofErr w:type="gramStart"/>
      <w:r w:rsidRPr="0015655E">
        <w:rPr>
          <w:rFonts w:ascii="Times New Roman" w:hAnsi="Times New Roman" w:cs="Times New Roman"/>
          <w:b/>
          <w:sz w:val="20"/>
          <w:szCs w:val="20"/>
        </w:rPr>
        <w:t>сроках</w:t>
      </w:r>
      <w:proofErr w:type="gramEnd"/>
      <w:r w:rsidRPr="0015655E">
        <w:rPr>
          <w:rFonts w:ascii="Times New Roman" w:hAnsi="Times New Roman" w:cs="Times New Roman"/>
          <w:b/>
          <w:sz w:val="20"/>
          <w:szCs w:val="20"/>
        </w:rPr>
        <w:t xml:space="preserve">, порядке и процедурах </w:t>
      </w:r>
    </w:p>
    <w:p w:rsidR="00801224" w:rsidRPr="0015655E" w:rsidRDefault="00801224" w:rsidP="00801224">
      <w:pPr>
        <w:pStyle w:val="NoSpacing"/>
        <w:jc w:val="right"/>
        <w:rPr>
          <w:rFonts w:ascii="Times New Roman" w:hAnsi="Times New Roman"/>
          <w:b/>
          <w:bCs/>
        </w:rPr>
      </w:pPr>
      <w:r w:rsidRPr="0015655E">
        <w:rPr>
          <w:rFonts w:ascii="Times New Roman" w:hAnsi="Times New Roman"/>
          <w:b/>
          <w:sz w:val="20"/>
          <w:szCs w:val="20"/>
        </w:rPr>
        <w:t>регистрации ценных бумаг</w:t>
      </w:r>
    </w:p>
    <w:p w:rsidR="00801224" w:rsidRPr="0015655E" w:rsidRDefault="00801224" w:rsidP="00801224">
      <w:pPr>
        <w:pStyle w:val="NoSpacing"/>
        <w:jc w:val="both"/>
        <w:rPr>
          <w:rFonts w:ascii="Times New Roman" w:hAnsi="Times New Roman"/>
          <w:b/>
          <w:bCs/>
        </w:rPr>
      </w:pPr>
    </w:p>
    <w:p w:rsidR="00801224" w:rsidRPr="0015655E" w:rsidRDefault="00801224" w:rsidP="00801224">
      <w:pPr>
        <w:pStyle w:val="NoSpacing"/>
        <w:jc w:val="both"/>
        <w:rPr>
          <w:rFonts w:ascii="Times New Roman" w:hAnsi="Times New Roman"/>
          <w:b/>
          <w:bCs/>
        </w:rPr>
      </w:pPr>
    </w:p>
    <w:p w:rsidR="00801224" w:rsidRPr="00801224" w:rsidRDefault="00801224" w:rsidP="00801224">
      <w:pPr>
        <w:pStyle w:val="NoSpacing"/>
        <w:jc w:val="center"/>
        <w:rPr>
          <w:rFonts w:ascii="Times New Roman" w:hAnsi="Times New Roman"/>
          <w:b/>
          <w:sz w:val="28"/>
          <w:szCs w:val="28"/>
        </w:rPr>
      </w:pPr>
      <w:r w:rsidRPr="0015655E">
        <w:rPr>
          <w:rFonts w:ascii="Times New Roman" w:hAnsi="Times New Roman"/>
          <w:b/>
          <w:sz w:val="28"/>
          <w:szCs w:val="28"/>
        </w:rPr>
        <w:t>Минимальная информация, которая должна содержаться в примечаниях о ценных бумагах  в случае публичного предложения акций</w:t>
      </w:r>
      <w:bookmarkStart w:id="0" w:name="_GoBack"/>
      <w:bookmarkEnd w:id="0"/>
    </w:p>
    <w:tbl>
      <w:tblPr>
        <w:tblW w:w="5418" w:type="pct"/>
        <w:tblInd w:w="-534"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703"/>
        <w:gridCol w:w="9127"/>
      </w:tblGrid>
      <w:tr w:rsidR="00801224" w:rsidRPr="0015655E" w:rsidTr="00B24149">
        <w:trPr>
          <w:trHeight w:val="243"/>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left="149" w:hanging="149"/>
              <w:jc w:val="center"/>
              <w:rPr>
                <w:rFonts w:ascii="Times New Roman" w:hAnsi="Times New Roman"/>
                <w:sz w:val="28"/>
                <w:szCs w:val="28"/>
              </w:rPr>
            </w:pPr>
            <w:r w:rsidRPr="0015655E">
              <w:rPr>
                <w:rFonts w:ascii="Times New Roman" w:hAnsi="Times New Roman"/>
                <w:b/>
                <w:bCs/>
                <w:sz w:val="28"/>
                <w:szCs w:val="28"/>
              </w:rPr>
              <w:t xml:space="preserve">1. ОТВЕТСТВЕННЫЕ ЛИЦА ЭМИТЕНТА </w:t>
            </w:r>
          </w:p>
        </w:tc>
      </w:tr>
      <w:tr w:rsidR="00801224" w:rsidRPr="0015655E" w:rsidTr="00B24149">
        <w:trPr>
          <w:trHeight w:val="1018"/>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Указать все лица, ответственные за включенные в примечания о ценных бумагах (далее – примечания) сведения, и, в зависимости от случая, лица, ответственные только за его определенные части, с соответствующими уточнениями. В случае физических лиц, включая членов органов управления эмитента (исполнительный орган, совет общества, ревизионная комиссия), указать их фамилию, имя и должность; в случае юридических лиц - наименование, IDNO и юридический адрес.</w:t>
            </w:r>
          </w:p>
        </w:tc>
      </w:tr>
      <w:tr w:rsidR="00801224" w:rsidRPr="0015655E" w:rsidTr="00B24149">
        <w:trPr>
          <w:trHeight w:val="75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proofErr w:type="gramStart"/>
            <w:r w:rsidRPr="0015655E">
              <w:rPr>
                <w:rFonts w:ascii="Times New Roman" w:hAnsi="Times New Roman"/>
                <w:sz w:val="28"/>
                <w:szCs w:val="28"/>
              </w:rPr>
              <w:t>Декларация лиц, ответственных за составление примечаний, и, в зависимости от случая, декларация лиц, ответственных только за определенные части данного документа, о том, что после принятия всех разумных мер в этих целях, информация, включенная в примечания/часть примечаний (уточнить), по их сведениям, соответствует действительности и в нем не умалчивается информация, которая могла бы существенно повлиять на содержание документа.</w:t>
            </w:r>
            <w:proofErr w:type="gramEnd"/>
          </w:p>
        </w:tc>
      </w:tr>
      <w:tr w:rsidR="00801224" w:rsidRPr="0015655E" w:rsidTr="00B24149">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center"/>
              <w:rPr>
                <w:rFonts w:ascii="Times New Roman" w:hAnsi="Times New Roman"/>
                <w:b/>
                <w:sz w:val="28"/>
                <w:szCs w:val="28"/>
              </w:rPr>
            </w:pPr>
            <w:r w:rsidRPr="0015655E">
              <w:rPr>
                <w:rFonts w:ascii="Times New Roman" w:hAnsi="Times New Roman"/>
                <w:b/>
                <w:sz w:val="28"/>
                <w:szCs w:val="28"/>
              </w:rPr>
              <w:t xml:space="preserve">2. </w:t>
            </w:r>
            <w:r w:rsidRPr="0015655E">
              <w:rPr>
                <w:rFonts w:ascii="Times New Roman" w:hAnsi="Times New Roman"/>
                <w:b/>
                <w:bCs/>
                <w:sz w:val="28"/>
                <w:szCs w:val="28"/>
              </w:rPr>
              <w:t>ФАКТОРЫ РИСКА</w:t>
            </w:r>
            <w:r w:rsidRPr="0015655E">
              <w:rPr>
                <w:rFonts w:ascii="Times New Roman" w:hAnsi="Times New Roman"/>
                <w:b/>
                <w:sz w:val="28"/>
                <w:szCs w:val="28"/>
              </w:rPr>
              <w:t xml:space="preserve"> </w:t>
            </w:r>
          </w:p>
        </w:tc>
      </w:tr>
      <w:tr w:rsidR="00801224" w:rsidRPr="0015655E" w:rsidTr="00B24149">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b/>
                <w:sz w:val="28"/>
                <w:szCs w:val="28"/>
              </w:rPr>
            </w:pP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Указать факторы риска, имеющие существенное влияние на предлагаемые допущенные к торгам ценные бумаги, для оценки рыночного риска определяемого соответствующими ценными бумагами.</w:t>
            </w:r>
          </w:p>
        </w:tc>
      </w:tr>
      <w:tr w:rsidR="00801224" w:rsidRPr="0015655E" w:rsidTr="00B24149">
        <w:trPr>
          <w:trHeight w:val="243"/>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center"/>
              <w:rPr>
                <w:rFonts w:ascii="Times New Roman" w:hAnsi="Times New Roman"/>
                <w:b/>
                <w:sz w:val="28"/>
                <w:szCs w:val="28"/>
              </w:rPr>
            </w:pPr>
            <w:r w:rsidRPr="0015655E">
              <w:rPr>
                <w:rFonts w:ascii="Times New Roman" w:hAnsi="Times New Roman"/>
                <w:b/>
                <w:sz w:val="28"/>
                <w:szCs w:val="28"/>
              </w:rPr>
              <w:t>3. ОСНОВНАЯ ИНФОРМАЦИЯ</w:t>
            </w:r>
          </w:p>
        </w:tc>
      </w:tr>
      <w:tr w:rsidR="00801224" w:rsidRPr="0015655E" w:rsidTr="00B24149">
        <w:trPr>
          <w:trHeight w:val="76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b/>
                <w:sz w:val="28"/>
                <w:szCs w:val="28"/>
                <w:u w:val="single"/>
              </w:rPr>
            </w:pPr>
            <w:r w:rsidRPr="0015655E">
              <w:rPr>
                <w:rFonts w:ascii="Times New Roman" w:hAnsi="Times New Roman"/>
                <w:b/>
                <w:sz w:val="28"/>
                <w:szCs w:val="28"/>
                <w:u w:val="single"/>
              </w:rPr>
              <w:t>Декларация о чистом оборотном капитале</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Декларация эмитента, подтверждающая что, по его мнению, его чистый оборотный капитал является достаточным для выполнения своих настоящих обязательств или, в противном случае, объясняющая как эмитент намеревается обеспечить необходимый дополнительный оборотный капитал.</w:t>
            </w:r>
          </w:p>
        </w:tc>
      </w:tr>
      <w:tr w:rsidR="00801224" w:rsidRPr="0015655E" w:rsidTr="00B24149">
        <w:trPr>
          <w:trHeight w:val="1006"/>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b/>
                <w:sz w:val="28"/>
                <w:szCs w:val="28"/>
                <w:u w:val="single"/>
              </w:rPr>
            </w:pPr>
            <w:r w:rsidRPr="0015655E">
              <w:rPr>
                <w:rFonts w:ascii="Times New Roman" w:hAnsi="Times New Roman"/>
                <w:b/>
                <w:sz w:val="28"/>
                <w:szCs w:val="28"/>
                <w:u w:val="single"/>
              </w:rPr>
              <w:t xml:space="preserve">Собственные капиталы и степень чрезмерной задолженности </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Декларация об уровне собственных капиталов и уровне чрезмерной задолженности (с распределением между гарантированными и негарантированными обязательствами) на дату, предшествующую дату составления документа не более чем на 90 дней. Информация о чрезмерной задолженности включает, также, прямые и возможные (обусловленные) задолженности.</w:t>
            </w:r>
          </w:p>
        </w:tc>
      </w:tr>
      <w:tr w:rsidR="00801224" w:rsidRPr="0015655E" w:rsidTr="00B24149">
        <w:trPr>
          <w:trHeight w:val="76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lastRenderedPageBreak/>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rPr>
                <w:rFonts w:ascii="Times New Roman" w:hAnsi="Times New Roman"/>
                <w:sz w:val="28"/>
                <w:szCs w:val="28"/>
                <w:u w:val="single"/>
              </w:rPr>
            </w:pPr>
            <w:r w:rsidRPr="0015655E">
              <w:rPr>
                <w:rFonts w:ascii="Times New Roman" w:hAnsi="Times New Roman"/>
                <w:b/>
                <w:bCs/>
                <w:sz w:val="28"/>
                <w:szCs w:val="28"/>
                <w:u w:val="single"/>
              </w:rPr>
              <w:t xml:space="preserve">Интересы физических и юридических лиц, участвующих в эмиссии/предложении </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Описание всех интересов, в том числе конфликтных, которые могли бы существенно повлиять на эмиссию/предложение, с указанием каждого вовлеченного лица и характера интереса.</w:t>
            </w:r>
          </w:p>
        </w:tc>
      </w:tr>
      <w:tr w:rsidR="00801224" w:rsidRPr="0015655E" w:rsidTr="00B24149">
        <w:trPr>
          <w:trHeight w:val="1770"/>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rPr>
                <w:rFonts w:ascii="Times New Roman" w:hAnsi="Times New Roman"/>
                <w:sz w:val="28"/>
                <w:szCs w:val="28"/>
                <w:u w:val="single"/>
              </w:rPr>
            </w:pPr>
            <w:r w:rsidRPr="0015655E">
              <w:rPr>
                <w:rFonts w:ascii="Times New Roman" w:hAnsi="Times New Roman"/>
                <w:b/>
                <w:bCs/>
                <w:sz w:val="28"/>
                <w:szCs w:val="28"/>
                <w:u w:val="single"/>
              </w:rPr>
              <w:t>Причины предложения и использование фондов</w:t>
            </w:r>
          </w:p>
          <w:p w:rsidR="00801224" w:rsidRPr="0015655E" w:rsidRDefault="00801224" w:rsidP="00B24149">
            <w:pPr>
              <w:pStyle w:val="NoSpacing"/>
              <w:widowControl w:val="0"/>
              <w:autoSpaceDE w:val="0"/>
              <w:autoSpaceDN w:val="0"/>
              <w:adjustRightInd w:val="0"/>
              <w:ind w:left="38" w:right="144"/>
              <w:jc w:val="both"/>
              <w:rPr>
                <w:rFonts w:ascii="Times New Roman" w:hAnsi="Times New Roman"/>
                <w:sz w:val="28"/>
                <w:szCs w:val="28"/>
              </w:rPr>
            </w:pPr>
            <w:r w:rsidRPr="0015655E">
              <w:rPr>
                <w:rFonts w:ascii="Times New Roman" w:hAnsi="Times New Roman"/>
                <w:sz w:val="28"/>
                <w:szCs w:val="28"/>
              </w:rPr>
              <w:t xml:space="preserve">Причины предложения и, в зависимости от случая, прогнозный чистый размер полученных фондов, распределенный по основным предусмотренным использованиям, в убывающем порядке согласно приоритетности. Если эмитент считает, что прогнозные фонды не будут достаточными для финансирования всех поставленных целей, указать источник и размер необходимых дополнительных фондов. Необходимо предоставить детальную информацию об использовании фондов, в особенности в случае, когда они используются для приобретения активов другим </w:t>
            </w:r>
            <w:proofErr w:type="gramStart"/>
            <w:r w:rsidRPr="0015655E">
              <w:rPr>
                <w:rFonts w:ascii="Times New Roman" w:hAnsi="Times New Roman"/>
                <w:sz w:val="28"/>
                <w:szCs w:val="28"/>
              </w:rPr>
              <w:t>путем</w:t>
            </w:r>
            <w:proofErr w:type="gramEnd"/>
            <w:r w:rsidRPr="0015655E">
              <w:rPr>
                <w:rFonts w:ascii="Times New Roman" w:hAnsi="Times New Roman"/>
                <w:sz w:val="28"/>
                <w:szCs w:val="28"/>
              </w:rPr>
              <w:t xml:space="preserve"> чем в рамках обычной деятельности, для финансирования объявленного приобретения других предприятий или для возмещения, уменьшения или выкупа определенных задолженностей.</w:t>
            </w:r>
          </w:p>
        </w:tc>
      </w:tr>
      <w:tr w:rsidR="00801224" w:rsidRPr="0015655E" w:rsidTr="00B24149">
        <w:trPr>
          <w:trHeight w:val="259"/>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center"/>
              <w:rPr>
                <w:rFonts w:ascii="Times New Roman" w:hAnsi="Times New Roman"/>
                <w:sz w:val="28"/>
                <w:szCs w:val="28"/>
              </w:rPr>
            </w:pPr>
            <w:r w:rsidRPr="0015655E">
              <w:rPr>
                <w:rFonts w:ascii="Times New Roman" w:hAnsi="Times New Roman"/>
                <w:b/>
                <w:bCs/>
                <w:sz w:val="28"/>
                <w:szCs w:val="28"/>
              </w:rPr>
              <w:t xml:space="preserve">      4. ИНФОРМАЦИЯ О ПРЕДЛАГАЕМЫХ/ДОПУЩЕННЫХ К ТОРГАМ ЦЕННЫХ БУМАГАХ </w:t>
            </w:r>
          </w:p>
        </w:tc>
      </w:tr>
      <w:tr w:rsidR="00801224" w:rsidRPr="0015655E" w:rsidTr="00B24149">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Описание характера и </w:t>
            </w:r>
            <w:proofErr w:type="gramStart"/>
            <w:r w:rsidRPr="0015655E">
              <w:rPr>
                <w:rFonts w:ascii="Times New Roman" w:hAnsi="Times New Roman"/>
                <w:sz w:val="28"/>
                <w:szCs w:val="28"/>
              </w:rPr>
              <w:t>категории</w:t>
            </w:r>
            <w:proofErr w:type="gramEnd"/>
            <w:r w:rsidRPr="0015655E">
              <w:rPr>
                <w:rFonts w:ascii="Times New Roman" w:hAnsi="Times New Roman"/>
                <w:sz w:val="28"/>
                <w:szCs w:val="28"/>
              </w:rPr>
              <w:t xml:space="preserve"> предлагаемых и допущенных к торгам ценных бумагах и идентификационный код ценных бумаг ISIN (международный идентификационный номер ценных бумаг).</w:t>
            </w:r>
          </w:p>
        </w:tc>
      </w:tr>
      <w:tr w:rsidR="00801224" w:rsidRPr="0015655E" w:rsidTr="00B24149">
        <w:trPr>
          <w:trHeight w:val="24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Законодательство, на основании которого выпускаются ценные бумаги.</w:t>
            </w:r>
          </w:p>
        </w:tc>
      </w:tr>
      <w:tr w:rsidR="00801224" w:rsidRPr="0015655E" w:rsidTr="00B24149">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Указать форму выпуска ценных бумаг (</w:t>
            </w:r>
            <w:proofErr w:type="gramStart"/>
            <w:r w:rsidRPr="0015655E">
              <w:rPr>
                <w:rFonts w:ascii="Times New Roman" w:hAnsi="Times New Roman"/>
                <w:sz w:val="28"/>
                <w:szCs w:val="28"/>
              </w:rPr>
              <w:t>дематериализованные</w:t>
            </w:r>
            <w:proofErr w:type="gramEnd"/>
            <w:r w:rsidRPr="0015655E">
              <w:rPr>
                <w:rFonts w:ascii="Times New Roman" w:hAnsi="Times New Roman"/>
                <w:sz w:val="28"/>
                <w:szCs w:val="28"/>
              </w:rPr>
              <w:t xml:space="preserve">). Указать наименование и адрес общества, обеспечивающего ведение реестра акционеров эмитента. </w:t>
            </w:r>
          </w:p>
        </w:tc>
      </w:tr>
      <w:tr w:rsidR="00801224" w:rsidRPr="0015655E" w:rsidTr="00B24149">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Валюта, в которой осуществляется эмиссия.</w:t>
            </w:r>
          </w:p>
        </w:tc>
      </w:tr>
      <w:tr w:rsidR="00801224" w:rsidRPr="0015655E" w:rsidTr="00B24149">
        <w:trPr>
          <w:trHeight w:val="551"/>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5)</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Описание связанных с ценными бумагами прав, в том числе любых применяемых к ним ограничений, и способов исполнения данных прав.</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a) право на получение дивидендов:</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установленна</w:t>
            </w:r>
            <w:proofErr w:type="gramStart"/>
            <w:r w:rsidRPr="0015655E">
              <w:rPr>
                <w:rFonts w:ascii="Times New Roman" w:hAnsi="Times New Roman"/>
                <w:sz w:val="28"/>
                <w:szCs w:val="28"/>
              </w:rPr>
              <w:t>я(</w:t>
            </w:r>
            <w:proofErr w:type="spellStart"/>
            <w:proofErr w:type="gramEnd"/>
            <w:r w:rsidRPr="0015655E">
              <w:rPr>
                <w:rFonts w:ascii="Times New Roman" w:hAnsi="Times New Roman"/>
                <w:sz w:val="28"/>
                <w:szCs w:val="28"/>
              </w:rPr>
              <w:t>ые</w:t>
            </w:r>
            <w:proofErr w:type="spellEnd"/>
            <w:r w:rsidRPr="0015655E">
              <w:rPr>
                <w:rFonts w:ascii="Times New Roman" w:hAnsi="Times New Roman"/>
                <w:sz w:val="28"/>
                <w:szCs w:val="28"/>
              </w:rPr>
              <w:t>) дата (даты) когда возникает данное право;</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срок предписания и лицо, в пользу которого выдается предписание;</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применяемые к дивидендам ограничения и применяемые к владельцам ценных бумаг процедуры;</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доля или способ начисления дивидендов, частота и кумулятивный или некумулятивный характер платежа.</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b) право голоса;</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c) преимущественное право на подписку на акции той же категории;</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d) право участия в прибыли эмитента;</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e) право участия в распределении излишка активов в случае ликвидации;</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f) условия выкупа;</w:t>
            </w: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r w:rsidRPr="0015655E">
              <w:rPr>
                <w:rFonts w:ascii="Times New Roman" w:hAnsi="Times New Roman"/>
                <w:sz w:val="28"/>
                <w:szCs w:val="28"/>
              </w:rPr>
              <w:t>g) условия конвертации.</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lastRenderedPageBreak/>
              <w:t>6)</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В случае новой эмиссии – декларация, содержащая постановления, разрешения и утверждения, на основании которых были или будут выпущены ценные бумаги.</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7)</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В случае новой эмиссии – дата, предусмотренная для данной эмиссии.</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8)</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Описание всех ограничений на свободную передачу ценных бумаг.</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9)</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Указание </w:t>
            </w:r>
            <w:proofErr w:type="gramStart"/>
            <w:r w:rsidRPr="0015655E">
              <w:rPr>
                <w:rFonts w:ascii="Times New Roman" w:hAnsi="Times New Roman"/>
                <w:sz w:val="28"/>
                <w:szCs w:val="28"/>
              </w:rPr>
              <w:t>существования</w:t>
            </w:r>
            <w:proofErr w:type="gramEnd"/>
            <w:r w:rsidRPr="0015655E">
              <w:rPr>
                <w:rFonts w:ascii="Times New Roman" w:hAnsi="Times New Roman"/>
                <w:sz w:val="28"/>
                <w:szCs w:val="28"/>
              </w:rPr>
              <w:t xml:space="preserve"> какой-любой нормы, относящейся к публичному предложению обязательного приобретения или к применению к ценным бумагам обязательного отзыва и обязательного выкупа (</w:t>
            </w:r>
            <w:proofErr w:type="spellStart"/>
            <w:r w:rsidRPr="0015655E">
              <w:rPr>
                <w:rFonts w:ascii="Times New Roman" w:hAnsi="Times New Roman"/>
                <w:sz w:val="28"/>
                <w:szCs w:val="28"/>
              </w:rPr>
              <w:t>squeeze-outsell-out</w:t>
            </w:r>
            <w:proofErr w:type="spellEnd"/>
            <w:r w:rsidRPr="0015655E">
              <w:rPr>
                <w:rFonts w:ascii="Times New Roman" w:hAnsi="Times New Roman"/>
                <w:sz w:val="28"/>
                <w:szCs w:val="28"/>
              </w:rPr>
              <w:t>).</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10)</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Сведения о публичных предложениях на приобретение, осуществленных третьими лицами в отношении капитала эмитента на протяжении последнего отчетного периода или текущего отчетного периода. Также, необходимо указать цену или условия приобретения и результат данных предложений.</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Для эмитента ценных бумаг: </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a) информация о любом удержан</w:t>
            </w:r>
            <w:proofErr w:type="gramStart"/>
            <w:r w:rsidRPr="0015655E">
              <w:rPr>
                <w:rFonts w:ascii="Times New Roman" w:hAnsi="Times New Roman"/>
                <w:sz w:val="28"/>
                <w:szCs w:val="28"/>
              </w:rPr>
              <w:t>ии у и</w:t>
            </w:r>
            <w:proofErr w:type="gramEnd"/>
            <w:r w:rsidRPr="0015655E">
              <w:rPr>
                <w:rFonts w:ascii="Times New Roman" w:hAnsi="Times New Roman"/>
                <w:sz w:val="28"/>
                <w:szCs w:val="28"/>
              </w:rPr>
              <w:t>сточника, применяемом к доходам по ценным бумагам;</w:t>
            </w: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r w:rsidRPr="0015655E">
              <w:rPr>
                <w:rFonts w:ascii="Times New Roman" w:hAnsi="Times New Roman"/>
                <w:sz w:val="28"/>
                <w:szCs w:val="28"/>
              </w:rPr>
              <w:t xml:space="preserve">b) указания о принятии или </w:t>
            </w:r>
            <w:proofErr w:type="gramStart"/>
            <w:r w:rsidRPr="0015655E">
              <w:rPr>
                <w:rFonts w:ascii="Times New Roman" w:hAnsi="Times New Roman"/>
                <w:sz w:val="28"/>
                <w:szCs w:val="28"/>
              </w:rPr>
              <w:t>не принятии</w:t>
            </w:r>
            <w:proofErr w:type="gramEnd"/>
            <w:r w:rsidRPr="0015655E">
              <w:rPr>
                <w:rFonts w:ascii="Times New Roman" w:hAnsi="Times New Roman"/>
                <w:sz w:val="28"/>
                <w:szCs w:val="28"/>
              </w:rPr>
              <w:t xml:space="preserve"> эмитентом ответственности за удержание у источника.</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p>
        </w:tc>
      </w:tr>
      <w:tr w:rsidR="00801224" w:rsidRPr="0015655E" w:rsidTr="00B24149">
        <w:trPr>
          <w:trHeight w:val="14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center"/>
              <w:rPr>
                <w:rFonts w:ascii="Times New Roman" w:hAnsi="Times New Roman"/>
                <w:sz w:val="28"/>
                <w:szCs w:val="28"/>
              </w:rPr>
            </w:pPr>
            <w:r w:rsidRPr="0015655E">
              <w:rPr>
                <w:rFonts w:ascii="Times New Roman" w:hAnsi="Times New Roman"/>
                <w:b/>
                <w:bCs/>
                <w:sz w:val="28"/>
                <w:szCs w:val="28"/>
              </w:rPr>
              <w:t>5. УСЛОВИЯ ПРЕДЛОЖЕНИЯ</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rPr>
                <w:rFonts w:ascii="Times New Roman" w:hAnsi="Times New Roman"/>
                <w:sz w:val="28"/>
                <w:szCs w:val="28"/>
                <w:u w:val="single"/>
              </w:rPr>
            </w:pPr>
            <w:r w:rsidRPr="0015655E">
              <w:rPr>
                <w:rFonts w:ascii="Times New Roman" w:hAnsi="Times New Roman"/>
                <w:b/>
                <w:bCs/>
                <w:sz w:val="28"/>
                <w:szCs w:val="28"/>
                <w:u w:val="single"/>
              </w:rPr>
              <w:t>Условия, статистика предложения, временный календарь и способы запрашивания подписки</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a)</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Представление условий, регулирующих предложение.</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b)</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Общая стоимость эмиссии/предложения, с различением предложенных на продажу ценных бумаг и предложенных на подписку ценных бумаг. Если общая стоимость не установлена – описание способов и срока публичного объявления окончательной стоимости.</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c)</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Срок действия предложения, в том числе любое возможное изменение, и описание процедуры подписки.</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d)</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Указание момента и условий, когда предложение может быть отозвано или приостановлено, и возможности или не возможности отзыва предложения после начала торгов.</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e)</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Описание любой возможности уменьшения подписки и способа возмещения излишних сумм, уплаченных подписчиками.</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f)</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Минимальный и максимальный объем одной под</w:t>
            </w:r>
            <w:r>
              <w:rPr>
                <w:rFonts w:ascii="Times New Roman" w:hAnsi="Times New Roman"/>
                <w:sz w:val="28"/>
                <w:szCs w:val="28"/>
              </w:rPr>
              <w:t>п</w:t>
            </w:r>
            <w:r w:rsidRPr="0015655E">
              <w:rPr>
                <w:rFonts w:ascii="Times New Roman" w:hAnsi="Times New Roman"/>
                <w:sz w:val="28"/>
                <w:szCs w:val="28"/>
              </w:rPr>
              <w:t>иски (выраженный количеством ценных бумаг или общей стоимостью инвестиции).</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g)</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Срок, на протяжении которого можно отозвать заявку на подписку, если инвесторы уполномочены отозвать подписку.</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h)</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Описание метода и указание предельных сроков для оплаты, соответственно для получения ценных бумаг.</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i)</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Полное описание способов опубликования результатов предложения, с </w:t>
            </w:r>
            <w:r w:rsidRPr="0015655E">
              <w:rPr>
                <w:rFonts w:ascii="Times New Roman" w:hAnsi="Times New Roman"/>
                <w:sz w:val="28"/>
                <w:szCs w:val="28"/>
              </w:rPr>
              <w:lastRenderedPageBreak/>
              <w:t>указанием места и даты опубликования.</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lastRenderedPageBreak/>
              <w:t>j)</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Описание процедуры исполнения любого преимущественного права на подписку, возможности передачи прав на подписку и режима, применяемого по отношению к неисполненным правам на подписку.</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rPr>
                <w:rFonts w:ascii="Times New Roman" w:hAnsi="Times New Roman"/>
                <w:sz w:val="28"/>
                <w:szCs w:val="28"/>
                <w:u w:val="single"/>
              </w:rPr>
            </w:pPr>
            <w:r w:rsidRPr="0015655E">
              <w:rPr>
                <w:rFonts w:ascii="Times New Roman" w:hAnsi="Times New Roman"/>
                <w:b/>
                <w:bCs/>
                <w:sz w:val="28"/>
                <w:szCs w:val="28"/>
                <w:u w:val="single"/>
              </w:rPr>
              <w:t>План распределения и предоставления ценных бумаг</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a)</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Различные категории потенциальных инвесторов, которым предоставляются ценные бумаги. </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b)</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По мере владения эмитентом данной информацией, </w:t>
            </w:r>
            <w:proofErr w:type="gramStart"/>
            <w:r w:rsidRPr="0015655E">
              <w:rPr>
                <w:rFonts w:ascii="Times New Roman" w:hAnsi="Times New Roman"/>
                <w:sz w:val="28"/>
                <w:szCs w:val="28"/>
              </w:rPr>
              <w:t>указать</w:t>
            </w:r>
            <w:proofErr w:type="gramEnd"/>
            <w:r w:rsidRPr="0015655E">
              <w:rPr>
                <w:rFonts w:ascii="Times New Roman" w:hAnsi="Times New Roman"/>
                <w:sz w:val="28"/>
                <w:szCs w:val="28"/>
              </w:rPr>
              <w:t xml:space="preserve"> если мажоритарные акционеры или члены руководящих органов (исполнительный орган, совет общества и ревизионная комиссия) намереваются подписаться на предложение или если любое лицо намеревается подписаться более чем 5 %.</w:t>
            </w:r>
          </w:p>
        </w:tc>
      </w:tr>
      <w:tr w:rsidR="00801224" w:rsidRPr="0015655E" w:rsidTr="00B24149">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c)</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left="-104" w:right="144" w:firstLine="182"/>
              <w:jc w:val="both"/>
              <w:rPr>
                <w:rFonts w:ascii="Times New Roman" w:hAnsi="Times New Roman"/>
                <w:sz w:val="28"/>
                <w:szCs w:val="28"/>
              </w:rPr>
            </w:pPr>
            <w:r w:rsidRPr="0015655E">
              <w:rPr>
                <w:rFonts w:ascii="Times New Roman" w:hAnsi="Times New Roman"/>
                <w:sz w:val="28"/>
                <w:szCs w:val="28"/>
              </w:rPr>
              <w:t>Информация до распределения:</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разделение предложения на транши: транши, зарезервированные для институциональных квалифицированных инвесторов, для мелких инвесторов и работников эмитента, а также любые иные транши;</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условия, в которых может быть исполнено право на перераспределение, максимальный объем такого перераспределения и любой минимальный процент, применяемый к различным траншам;</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метод распределения или методы, применяемые к траншам для мелких инвесторов и работников эмитента, в случае </w:t>
            </w:r>
            <w:proofErr w:type="spellStart"/>
            <w:r w:rsidRPr="0015655E">
              <w:rPr>
                <w:rFonts w:ascii="Times New Roman" w:hAnsi="Times New Roman"/>
                <w:sz w:val="28"/>
                <w:szCs w:val="28"/>
              </w:rPr>
              <w:t>сверхподписки</w:t>
            </w:r>
            <w:proofErr w:type="spellEnd"/>
            <w:r w:rsidRPr="0015655E">
              <w:rPr>
                <w:rFonts w:ascii="Times New Roman" w:hAnsi="Times New Roman"/>
                <w:sz w:val="28"/>
                <w:szCs w:val="28"/>
              </w:rPr>
              <w:t xml:space="preserve"> данных траншей;</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описание установленного ранее преимущественного режима, который применяется, в момент распределения ценных бумаг, к некоторым категориям инвесторов или к определенным группам, зарезервированные в этих целях проценты от предложения и критерии включения в соответствующие категории или группы;</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информация о том, если отношение к подписке или к заявкам на подписку, на момент распределения ценных бумаг, может зависеть от предприятия, которое осуществляет подписку или посредством которого осуществляется подписка;</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в зависимости от случая, указать целевой минимальный размер для индивидуальных предоставлений ценных бумаг, в траншах, мелким инвесторам;</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 условия завершения предложения и </w:t>
            </w:r>
            <w:proofErr w:type="gramStart"/>
            <w:r w:rsidRPr="0015655E">
              <w:rPr>
                <w:rFonts w:ascii="Times New Roman" w:hAnsi="Times New Roman"/>
                <w:sz w:val="28"/>
                <w:szCs w:val="28"/>
              </w:rPr>
              <w:t>дата</w:t>
            </w:r>
            <w:proofErr w:type="gramEnd"/>
            <w:r w:rsidRPr="0015655E">
              <w:rPr>
                <w:rFonts w:ascii="Times New Roman" w:hAnsi="Times New Roman"/>
                <w:sz w:val="28"/>
                <w:szCs w:val="28"/>
              </w:rPr>
              <w:t xml:space="preserve"> на которую предложение могло бы быть завершено заранее.</w:t>
            </w: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r w:rsidRPr="0015655E">
              <w:rPr>
                <w:rFonts w:ascii="Times New Roman" w:hAnsi="Times New Roman"/>
                <w:sz w:val="28"/>
                <w:szCs w:val="28"/>
              </w:rPr>
              <w:t>h) информация о возможности осуществления множественных подписок, а в случае если они запрещены – порядок управления множественными подписками.</w:t>
            </w: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p>
        </w:tc>
      </w:tr>
      <w:tr w:rsidR="00801224" w:rsidRPr="0015655E" w:rsidTr="00B24149">
        <w:trPr>
          <w:trHeight w:val="497"/>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d)</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Процедура уведомления подписчиков о распределенном объеме ценных бумаг и информация о возможности начала торгов до получения уведомления.</w:t>
            </w:r>
          </w:p>
        </w:tc>
      </w:tr>
      <w:tr w:rsidR="00801224" w:rsidRPr="0015655E" w:rsidTr="00B24149">
        <w:trPr>
          <w:trHeight w:val="1018"/>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lastRenderedPageBreak/>
              <w:t>e)</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b/>
                <w:sz w:val="28"/>
                <w:szCs w:val="28"/>
                <w:u w:val="single"/>
              </w:rPr>
            </w:pPr>
            <w:proofErr w:type="spellStart"/>
            <w:r w:rsidRPr="0015655E">
              <w:rPr>
                <w:rFonts w:ascii="Times New Roman" w:hAnsi="Times New Roman"/>
                <w:b/>
                <w:sz w:val="28"/>
                <w:szCs w:val="28"/>
                <w:u w:val="single"/>
              </w:rPr>
              <w:t>Сверхраспределение</w:t>
            </w:r>
            <w:proofErr w:type="spellEnd"/>
            <w:r w:rsidRPr="0015655E">
              <w:rPr>
                <w:rFonts w:ascii="Times New Roman" w:hAnsi="Times New Roman"/>
                <w:b/>
                <w:sz w:val="28"/>
                <w:szCs w:val="28"/>
                <w:u w:val="single"/>
              </w:rPr>
              <w:t xml:space="preserve"> и продление:</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a) возможное существование и объем любого решения о </w:t>
            </w:r>
            <w:proofErr w:type="spellStart"/>
            <w:r w:rsidRPr="0015655E">
              <w:rPr>
                <w:rFonts w:ascii="Times New Roman" w:hAnsi="Times New Roman"/>
                <w:sz w:val="28"/>
                <w:szCs w:val="28"/>
              </w:rPr>
              <w:t>сверхраспределении</w:t>
            </w:r>
            <w:proofErr w:type="spellEnd"/>
            <w:r w:rsidRPr="0015655E">
              <w:rPr>
                <w:rFonts w:ascii="Times New Roman" w:hAnsi="Times New Roman"/>
                <w:sz w:val="28"/>
                <w:szCs w:val="28"/>
              </w:rPr>
              <w:t xml:space="preserve"> и продлении;</w:t>
            </w: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b) период действительности </w:t>
            </w:r>
            <w:proofErr w:type="spellStart"/>
            <w:r w:rsidRPr="0015655E">
              <w:rPr>
                <w:rFonts w:ascii="Times New Roman" w:hAnsi="Times New Roman"/>
                <w:sz w:val="28"/>
                <w:szCs w:val="28"/>
              </w:rPr>
              <w:t>сверхраспределения</w:t>
            </w:r>
            <w:proofErr w:type="spellEnd"/>
            <w:r w:rsidRPr="0015655E">
              <w:rPr>
                <w:rFonts w:ascii="Times New Roman" w:hAnsi="Times New Roman"/>
                <w:sz w:val="28"/>
                <w:szCs w:val="28"/>
              </w:rPr>
              <w:t>/продления;</w:t>
            </w: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r w:rsidRPr="0015655E">
              <w:rPr>
                <w:rFonts w:ascii="Times New Roman" w:hAnsi="Times New Roman"/>
                <w:sz w:val="28"/>
                <w:szCs w:val="28"/>
              </w:rPr>
              <w:t xml:space="preserve">c) условия применения решения о </w:t>
            </w:r>
            <w:proofErr w:type="spellStart"/>
            <w:r w:rsidRPr="0015655E">
              <w:rPr>
                <w:rFonts w:ascii="Times New Roman" w:hAnsi="Times New Roman"/>
                <w:sz w:val="28"/>
                <w:szCs w:val="28"/>
              </w:rPr>
              <w:t>сверхраспределении</w:t>
            </w:r>
            <w:proofErr w:type="spellEnd"/>
            <w:r w:rsidRPr="0015655E">
              <w:rPr>
                <w:rFonts w:ascii="Times New Roman" w:hAnsi="Times New Roman"/>
                <w:sz w:val="28"/>
                <w:szCs w:val="28"/>
              </w:rPr>
              <w:t xml:space="preserve"> или продлении.</w:t>
            </w:r>
          </w:p>
          <w:p w:rsidR="00801224" w:rsidRPr="0015655E" w:rsidRDefault="00801224" w:rsidP="00B24149">
            <w:pPr>
              <w:pStyle w:val="NoSpacing"/>
              <w:widowControl w:val="0"/>
              <w:autoSpaceDE w:val="0"/>
              <w:autoSpaceDN w:val="0"/>
              <w:adjustRightInd w:val="0"/>
              <w:ind w:right="144"/>
              <w:jc w:val="both"/>
              <w:rPr>
                <w:rFonts w:ascii="Times New Roman" w:hAnsi="Times New Roman"/>
                <w:vanish/>
                <w:sz w:val="28"/>
                <w:szCs w:val="28"/>
              </w:rPr>
            </w:pPr>
          </w:p>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p>
        </w:tc>
      </w:tr>
      <w:tr w:rsidR="00801224" w:rsidRPr="0015655E" w:rsidTr="00B24149">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u w:val="single"/>
              </w:rPr>
            </w:pPr>
            <w:r w:rsidRPr="0015655E">
              <w:rPr>
                <w:rFonts w:ascii="Times New Roman" w:hAnsi="Times New Roman"/>
                <w:b/>
                <w:bCs/>
                <w:sz w:val="28"/>
                <w:szCs w:val="28"/>
                <w:u w:val="single"/>
              </w:rPr>
              <w:t>Установление цены</w:t>
            </w:r>
          </w:p>
        </w:tc>
      </w:tr>
      <w:tr w:rsidR="00801224" w:rsidRPr="0015655E" w:rsidTr="00B24149">
        <w:trPr>
          <w:trHeight w:val="75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a)</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Цена, по которой предлагаются ценные бумаги. Если цена не известна или отсутствует сформированный ликвидный рынок для данных ценных бумаг – метод определения цены предложения, с указанием лица, которое установило критерии или является официально ответственным за определение цены. Размер расходов или сборов, запрашиваемых от подписчиков или покупателей.</w:t>
            </w:r>
          </w:p>
        </w:tc>
      </w:tr>
      <w:tr w:rsidR="00801224" w:rsidRPr="0015655E" w:rsidTr="00B24149">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b)</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Описание процедуры опубликования цены предложения.</w:t>
            </w:r>
          </w:p>
        </w:tc>
      </w:tr>
      <w:tr w:rsidR="00801224" w:rsidRPr="0015655E" w:rsidTr="00B24149">
        <w:trPr>
          <w:trHeight w:val="75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c)</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Если акционеры эмитента </w:t>
            </w:r>
            <w:proofErr w:type="gramStart"/>
            <w:r w:rsidRPr="0015655E">
              <w:rPr>
                <w:rFonts w:ascii="Times New Roman" w:hAnsi="Times New Roman"/>
                <w:sz w:val="28"/>
                <w:szCs w:val="28"/>
              </w:rPr>
              <w:t>пользуются преимущественным правом на подписку и если данное право было</w:t>
            </w:r>
            <w:proofErr w:type="gramEnd"/>
            <w:r w:rsidRPr="0015655E">
              <w:rPr>
                <w:rFonts w:ascii="Times New Roman" w:hAnsi="Times New Roman"/>
                <w:sz w:val="28"/>
                <w:szCs w:val="28"/>
              </w:rPr>
              <w:t xml:space="preserve"> ограничено или аннулировано, указать основание для определения цены эмиссии в случае оплаты акций денежными средствами, а также причины и бенефициаров данных ограничений или аннулирований.</w:t>
            </w:r>
          </w:p>
        </w:tc>
      </w:tr>
      <w:tr w:rsidR="00801224" w:rsidRPr="0015655E" w:rsidTr="00B24149">
        <w:trPr>
          <w:trHeight w:val="127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d)</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proofErr w:type="gramStart"/>
            <w:r w:rsidRPr="0015655E">
              <w:rPr>
                <w:rFonts w:ascii="Times New Roman" w:hAnsi="Times New Roman"/>
                <w:sz w:val="28"/>
                <w:szCs w:val="28"/>
              </w:rPr>
              <w:t>Если существует или могло бы существовать значительное отличие между ценой публичного предложения и фактической стоимостью, перечисленной в денежных средствах членами органов управления или другими должностными лицами или их аффилированными лицами за соответствующие ценные бумаги, которые они приобрели в рамках сделок, совершенных на протяжении последнего отчетного периода, или  которые они вправе приобрести, представить сравнение между вкладом общественности в рамках публичного предложения</w:t>
            </w:r>
            <w:proofErr w:type="gramEnd"/>
            <w:r w:rsidRPr="0015655E">
              <w:rPr>
                <w:rFonts w:ascii="Times New Roman" w:hAnsi="Times New Roman"/>
                <w:sz w:val="28"/>
                <w:szCs w:val="28"/>
              </w:rPr>
              <w:t xml:space="preserve"> и фактическим вкладом в денежных средствах со стороны указанных лиц.</w:t>
            </w:r>
          </w:p>
        </w:tc>
      </w:tr>
      <w:tr w:rsidR="00801224" w:rsidRPr="0015655E" w:rsidTr="00B24149">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u w:val="single"/>
              </w:rPr>
            </w:pPr>
            <w:r w:rsidRPr="0015655E">
              <w:rPr>
                <w:rFonts w:ascii="Times New Roman" w:hAnsi="Times New Roman"/>
                <w:b/>
                <w:bCs/>
                <w:sz w:val="28"/>
                <w:szCs w:val="28"/>
                <w:u w:val="single"/>
              </w:rPr>
              <w:t>Размещение и подписка</w:t>
            </w:r>
          </w:p>
        </w:tc>
      </w:tr>
      <w:tr w:rsidR="00801224" w:rsidRPr="0015655E" w:rsidTr="00B24149">
        <w:trPr>
          <w:trHeight w:val="43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a)</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Фамилия и адрес координаторов, посредников предложения в целом и отдельных сторон предложения, а также, в случае необходимости, фамилия и адрес посредников из третьих стран, в которых осуществляется предложение.</w:t>
            </w:r>
          </w:p>
        </w:tc>
      </w:tr>
      <w:tr w:rsidR="00801224" w:rsidRPr="0015655E" w:rsidTr="00B24149">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b)</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Наименование и адрес Фондовой биржи, Центрального депозитария и всех вовлеченных в предложение инвестиционных обществ.</w:t>
            </w:r>
          </w:p>
        </w:tc>
      </w:tr>
      <w:tr w:rsidR="00801224" w:rsidRPr="0015655E" w:rsidTr="00B24149">
        <w:trPr>
          <w:trHeight w:val="977"/>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t>c)</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Наименование и адрес обществ, которые взяли на себя твердое обязательство подписаться на эмиссию, и тех, которые взяли на себя обязательство размещать ценные бумаги без твердой подписки или на основании инвестиционного соглашения по самой лучшей цене. Указать главные характеристики заключенных соглашений, включая доли. Если твердая подписка не относится ко всей эмиссии, указать долю участия, которая не была подписана. Указать общий размер комиссионных за инвестирование и комиссионных за гарантию (для твердой подписки).</w:t>
            </w:r>
          </w:p>
        </w:tc>
      </w:tr>
      <w:tr w:rsidR="00801224" w:rsidRPr="0015655E" w:rsidTr="00B24149">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Cs/>
                <w:sz w:val="28"/>
                <w:szCs w:val="28"/>
              </w:rPr>
              <w:lastRenderedPageBreak/>
              <w:t>d)</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Момент, когда соглашение о твердой подписке было или будет выполнено.</w:t>
            </w:r>
          </w:p>
        </w:tc>
      </w:tr>
      <w:tr w:rsidR="00801224" w:rsidRPr="0015655E" w:rsidTr="00B24149">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center"/>
              <w:rPr>
                <w:rFonts w:ascii="Times New Roman" w:hAnsi="Times New Roman"/>
                <w:sz w:val="28"/>
                <w:szCs w:val="28"/>
              </w:rPr>
            </w:pPr>
            <w:r w:rsidRPr="0015655E">
              <w:rPr>
                <w:rFonts w:ascii="Times New Roman" w:hAnsi="Times New Roman"/>
                <w:b/>
                <w:bCs/>
                <w:sz w:val="28"/>
                <w:szCs w:val="28"/>
              </w:rPr>
              <w:t xml:space="preserve">6. ДОПУЩЕНИЕ К ТОРГАМ И СПОСОБЫ СОВЕРШЕНИЯ СДЕЛОК </w:t>
            </w:r>
          </w:p>
        </w:tc>
      </w:tr>
      <w:tr w:rsidR="00801224" w:rsidRPr="0015655E" w:rsidTr="00B24149">
        <w:trPr>
          <w:trHeight w:val="1006"/>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Указать если предоставляемые ценные бумаги составляют или составят предмет запроса на допущение к торгам в целях их распределения на регулируемом рынке. Данная информация излагается таким образом, чтобы не создать впечатление, что допущение к торгам будет с уверенностью утверждено. Указать самые последние данные, по которым ценные бумаги будут допущены к торгам, если они известны.</w:t>
            </w:r>
          </w:p>
        </w:tc>
      </w:tr>
      <w:tr w:rsidR="00801224" w:rsidRPr="0015655E" w:rsidTr="00B24149">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Указать все регулируемые рынки на которых, по сведениям эмитента, уже торгуются ценные </w:t>
            </w:r>
            <w:proofErr w:type="gramStart"/>
            <w:r w:rsidRPr="0015655E">
              <w:rPr>
                <w:rFonts w:ascii="Times New Roman" w:hAnsi="Times New Roman"/>
                <w:sz w:val="28"/>
                <w:szCs w:val="28"/>
              </w:rPr>
              <w:t>бумаги</w:t>
            </w:r>
            <w:proofErr w:type="gramEnd"/>
            <w:r w:rsidRPr="0015655E">
              <w:rPr>
                <w:rFonts w:ascii="Times New Roman" w:hAnsi="Times New Roman"/>
                <w:sz w:val="28"/>
                <w:szCs w:val="28"/>
              </w:rPr>
              <w:t xml:space="preserve"> принадлежащие к категории, к которой относятся и ценные бумаги которые будут предложены или допущены к торгам.</w:t>
            </w:r>
          </w:p>
        </w:tc>
      </w:tr>
      <w:tr w:rsidR="00801224" w:rsidRPr="0015655E" w:rsidTr="00B24149">
        <w:trPr>
          <w:trHeight w:val="1006"/>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144"/>
              <w:jc w:val="both"/>
              <w:rPr>
                <w:rFonts w:ascii="Times New Roman" w:hAnsi="Times New Roman"/>
                <w:sz w:val="28"/>
                <w:szCs w:val="28"/>
              </w:rPr>
            </w:pPr>
            <w:proofErr w:type="gramStart"/>
            <w:r w:rsidRPr="0015655E">
              <w:rPr>
                <w:rFonts w:ascii="Times New Roman" w:hAnsi="Times New Roman"/>
                <w:sz w:val="28"/>
                <w:szCs w:val="28"/>
              </w:rPr>
              <w:t>Если одновременно или почти одновременно с размещением ценных бумаг, для которых запрашивается допущение к торгам на регулируемом рынке, подписываются или размещаются путем закрытого предложения ценные бумаги той же категории или если размещаются ценные бумаги других категорий, которые составят предмет публичного или закрытого предложения, указать характер данных операций, а также число и характеристики ценных бумаг, составляющих предмет данных операций.</w:t>
            </w:r>
            <w:proofErr w:type="gramEnd"/>
          </w:p>
        </w:tc>
      </w:tr>
      <w:tr w:rsidR="00801224" w:rsidRPr="0015655E" w:rsidTr="00B24149">
        <w:trPr>
          <w:trHeight w:val="76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Подробная информация об обществах, которые взяли на себя твердое обязательство осуществлять деятельность в качестве посредников на вторичных рынках и гарантировать их ликвидность посредством котировок на продажу и приобретение; описание главных характеристик данного обязательства.</w:t>
            </w:r>
          </w:p>
        </w:tc>
      </w:tr>
      <w:tr w:rsidR="00801224" w:rsidRPr="0015655E" w:rsidTr="00B24149">
        <w:trPr>
          <w:trHeight w:val="1781"/>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5)</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b/>
                <w:sz w:val="28"/>
                <w:szCs w:val="28"/>
                <w:u w:val="single"/>
              </w:rPr>
            </w:pPr>
            <w:r w:rsidRPr="0015655E">
              <w:rPr>
                <w:rFonts w:ascii="Times New Roman" w:hAnsi="Times New Roman"/>
                <w:b/>
                <w:sz w:val="28"/>
                <w:szCs w:val="28"/>
                <w:u w:val="single"/>
              </w:rPr>
              <w:t xml:space="preserve">Стабильность </w:t>
            </w:r>
          </w:p>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В случае, когда эмитент или акционер, желающий продать ценные бумаги, предоставил возможность </w:t>
            </w:r>
            <w:proofErr w:type="spellStart"/>
            <w:r w:rsidRPr="0015655E">
              <w:rPr>
                <w:rFonts w:ascii="Times New Roman" w:hAnsi="Times New Roman"/>
                <w:sz w:val="28"/>
                <w:szCs w:val="28"/>
              </w:rPr>
              <w:t>сверхраспределения</w:t>
            </w:r>
            <w:proofErr w:type="spellEnd"/>
            <w:r w:rsidRPr="0015655E">
              <w:rPr>
                <w:rFonts w:ascii="Times New Roman" w:hAnsi="Times New Roman"/>
                <w:sz w:val="28"/>
                <w:szCs w:val="28"/>
              </w:rPr>
              <w:t xml:space="preserve"> или был предложен иной способ для осуществления некоторых операций по стабилизации цены для предложения:</w:t>
            </w:r>
          </w:p>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a) указать, что стабилизация является возможной, что не существует </w:t>
            </w:r>
            <w:proofErr w:type="gramStart"/>
            <w:r w:rsidRPr="0015655E">
              <w:rPr>
                <w:rFonts w:ascii="Times New Roman" w:hAnsi="Times New Roman"/>
                <w:sz w:val="28"/>
                <w:szCs w:val="28"/>
              </w:rPr>
              <w:t>гарантий</w:t>
            </w:r>
            <w:proofErr w:type="gramEnd"/>
            <w:r w:rsidRPr="0015655E">
              <w:rPr>
                <w:rFonts w:ascii="Times New Roman" w:hAnsi="Times New Roman"/>
                <w:sz w:val="28"/>
                <w:szCs w:val="28"/>
              </w:rPr>
              <w:t xml:space="preserve"> что она произойдет и что ее можно приостановить в любой момент;</w:t>
            </w:r>
          </w:p>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b) указать начало и конец периода, в котором может произойти стабилизация;</w:t>
            </w:r>
          </w:p>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c) уточнить личность ответственного за стабилизацию лица в каждом отдельном случае, за исключением случая, когда данная информация не является известной на момент опубликования;</w:t>
            </w:r>
          </w:p>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d) указать, что деятельность по стабилизации может привести к определению более высокой рыночной цены, чем было бы в других условиях.</w:t>
            </w:r>
          </w:p>
        </w:tc>
      </w:tr>
      <w:tr w:rsidR="00801224" w:rsidRPr="0015655E" w:rsidTr="00B24149">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center"/>
              <w:rPr>
                <w:rFonts w:ascii="Times New Roman" w:hAnsi="Times New Roman"/>
                <w:sz w:val="28"/>
                <w:szCs w:val="28"/>
              </w:rPr>
            </w:pPr>
            <w:r w:rsidRPr="0015655E">
              <w:rPr>
                <w:rFonts w:ascii="Times New Roman" w:hAnsi="Times New Roman"/>
                <w:b/>
                <w:bCs/>
                <w:sz w:val="28"/>
                <w:szCs w:val="28"/>
              </w:rPr>
              <w:t xml:space="preserve">7. ВЛАДЕЛЬЦЫ ЦЕННЫХ </w:t>
            </w:r>
            <w:proofErr w:type="gramStart"/>
            <w:r w:rsidRPr="0015655E">
              <w:rPr>
                <w:rFonts w:ascii="Times New Roman" w:hAnsi="Times New Roman"/>
                <w:b/>
                <w:bCs/>
                <w:sz w:val="28"/>
                <w:szCs w:val="28"/>
              </w:rPr>
              <w:t>БУМАГ</w:t>
            </w:r>
            <w:proofErr w:type="gramEnd"/>
            <w:r w:rsidRPr="0015655E">
              <w:rPr>
                <w:rFonts w:ascii="Times New Roman" w:hAnsi="Times New Roman"/>
                <w:b/>
                <w:bCs/>
                <w:sz w:val="28"/>
                <w:szCs w:val="28"/>
              </w:rPr>
              <w:t xml:space="preserve"> ЖЕЛАЮЩИЕ ИХ ПРОДАТЬ </w:t>
            </w:r>
          </w:p>
        </w:tc>
      </w:tr>
      <w:tr w:rsidR="00801224" w:rsidRPr="0015655E" w:rsidTr="00B24149">
        <w:trPr>
          <w:trHeight w:val="76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lastRenderedPageBreak/>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Фамилия и юридический адрес (по которому осуществляет деятельность) лиц или обществ, которые выставляют на продажу принадлежащие им ценные бумаги; указать характер занимаемой должности или других важных отношений, имеющихся между продавцами и эмитентом или любым его предшественником или аффилированным лицом на протяжении последних трех лет.</w:t>
            </w:r>
          </w:p>
        </w:tc>
      </w:tr>
      <w:tr w:rsidR="00801224" w:rsidRPr="0015655E" w:rsidTr="00B24149">
        <w:trPr>
          <w:trHeight w:val="24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Номер и категория ценных бумаг, предоставляемых каждым владельцем желающим их продать.</w:t>
            </w:r>
          </w:p>
        </w:tc>
      </w:tr>
      <w:tr w:rsidR="00801224" w:rsidRPr="0015655E" w:rsidTr="00B24149">
        <w:trPr>
          <w:trHeight w:val="1018"/>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Договор об ограничениях:</w:t>
            </w:r>
          </w:p>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a) идентификация вовлеченных сторон;</w:t>
            </w:r>
          </w:p>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b) описание содержания договора и предусмотренных исключений;</w:t>
            </w:r>
          </w:p>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c) срок действия периода ограничений.</w:t>
            </w:r>
          </w:p>
        </w:tc>
      </w:tr>
      <w:tr w:rsidR="00801224" w:rsidRPr="0015655E" w:rsidTr="00B24149">
        <w:trPr>
          <w:trHeight w:val="243"/>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center"/>
              <w:rPr>
                <w:rFonts w:ascii="Times New Roman" w:hAnsi="Times New Roman"/>
                <w:sz w:val="28"/>
                <w:szCs w:val="28"/>
              </w:rPr>
            </w:pPr>
            <w:r w:rsidRPr="0015655E">
              <w:rPr>
                <w:rFonts w:ascii="Times New Roman" w:hAnsi="Times New Roman"/>
                <w:b/>
                <w:bCs/>
                <w:sz w:val="28"/>
                <w:szCs w:val="28"/>
              </w:rPr>
              <w:t xml:space="preserve">8. РАСХОДЫ, СВЯЗАННЫЕ С ЭМИССИЕЙ/ПРЕДЛОЖЕНИЕМ </w:t>
            </w:r>
          </w:p>
        </w:tc>
      </w:tr>
      <w:tr w:rsidR="00801224" w:rsidRPr="0015655E" w:rsidTr="00B24149">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b/>
                <w:sz w:val="28"/>
                <w:szCs w:val="28"/>
              </w:rPr>
            </w:pPr>
            <w:r w:rsidRPr="0015655E">
              <w:rPr>
                <w:rFonts w:ascii="Times New Roman" w:hAnsi="Times New Roman"/>
                <w:b/>
                <w:sz w:val="28"/>
                <w:szCs w:val="28"/>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Общий чистый размер фондов, полученных вследствие эмиссии/предложения, и оценка общих расходов, связанных с эмиссией/предложением.</w:t>
            </w:r>
          </w:p>
        </w:tc>
      </w:tr>
      <w:tr w:rsidR="00801224" w:rsidRPr="0015655E" w:rsidTr="00B24149">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ind w:right="283"/>
              <w:jc w:val="center"/>
              <w:rPr>
                <w:rFonts w:ascii="Times New Roman" w:hAnsi="Times New Roman"/>
                <w:sz w:val="28"/>
                <w:szCs w:val="28"/>
              </w:rPr>
            </w:pPr>
            <w:r w:rsidRPr="0015655E">
              <w:rPr>
                <w:rFonts w:ascii="Times New Roman" w:hAnsi="Times New Roman"/>
                <w:b/>
                <w:bCs/>
                <w:sz w:val="28"/>
                <w:szCs w:val="28"/>
              </w:rPr>
              <w:t>9. РАСПРЕДЕЛЕНИЕ</w:t>
            </w:r>
          </w:p>
        </w:tc>
      </w:tr>
      <w:tr w:rsidR="00801224" w:rsidRPr="0015655E" w:rsidTr="00B24149">
        <w:trPr>
          <w:trHeight w:val="24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Размер и проценты распределения, прямо определенные предложением.</w:t>
            </w:r>
          </w:p>
        </w:tc>
      </w:tr>
      <w:tr w:rsidR="00801224" w:rsidRPr="0015655E" w:rsidTr="00B24149">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В случае предложения на подписку, адресованного существующим акционерам, размер и проценты распределения, прямо определенные их возможным отказом от подписки.</w:t>
            </w:r>
          </w:p>
        </w:tc>
      </w:tr>
      <w:tr w:rsidR="00801224" w:rsidRPr="0015655E" w:rsidTr="00B24149">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center"/>
              <w:rPr>
                <w:rFonts w:ascii="Times New Roman" w:hAnsi="Times New Roman"/>
                <w:sz w:val="28"/>
                <w:szCs w:val="28"/>
              </w:rPr>
            </w:pPr>
            <w:r w:rsidRPr="0015655E">
              <w:rPr>
                <w:rFonts w:ascii="Times New Roman" w:hAnsi="Times New Roman"/>
                <w:b/>
                <w:bCs/>
                <w:sz w:val="28"/>
                <w:szCs w:val="28"/>
              </w:rPr>
              <w:t>10. ДОПОЛНИТЕЛЬНАЯ ИНФОРМАЦИЯ</w:t>
            </w:r>
          </w:p>
        </w:tc>
      </w:tr>
      <w:tr w:rsidR="00801224" w:rsidRPr="0015655E" w:rsidTr="00B24149">
        <w:trPr>
          <w:trHeight w:val="497"/>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Если в примечаниях указаны связанные с предложением советники – </w:t>
            </w:r>
            <w:proofErr w:type="gramStart"/>
            <w:r w:rsidRPr="0015655E">
              <w:rPr>
                <w:rFonts w:ascii="Times New Roman" w:hAnsi="Times New Roman"/>
                <w:sz w:val="28"/>
                <w:szCs w:val="28"/>
              </w:rPr>
              <w:t>декларация, подтверждающая в каком качестве они осуществляли</w:t>
            </w:r>
            <w:proofErr w:type="gramEnd"/>
            <w:r w:rsidRPr="0015655E">
              <w:rPr>
                <w:rFonts w:ascii="Times New Roman" w:hAnsi="Times New Roman"/>
                <w:sz w:val="28"/>
                <w:szCs w:val="28"/>
              </w:rPr>
              <w:t xml:space="preserve"> деятельность.</w:t>
            </w:r>
          </w:p>
        </w:tc>
      </w:tr>
      <w:tr w:rsidR="00801224" w:rsidRPr="0015655E" w:rsidTr="00B24149">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Указать какие другие сведения из примечаний были проверены или рассмотрены аудиторами и если они составили отчет. Представить отчет в полном объеме.</w:t>
            </w:r>
          </w:p>
        </w:tc>
      </w:tr>
      <w:tr w:rsidR="00801224" w:rsidRPr="0015655E" w:rsidTr="00B24149">
        <w:trPr>
          <w:trHeight w:val="1275"/>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В случае если примечания содержат декларацию или отчет присваиваемые лицу, действующему в качестве эксперта, - указать фамилию, рабочий адрес и квалификацию данного лица и, в зависимости от случая, любые существенные интересы данного лица относительно эмитента. Если отчет или декларация были составлены по заявлению эмитента, прилагается </w:t>
            </w:r>
            <w:proofErr w:type="gramStart"/>
            <w:r w:rsidRPr="0015655E">
              <w:rPr>
                <w:rFonts w:ascii="Times New Roman" w:hAnsi="Times New Roman"/>
                <w:sz w:val="28"/>
                <w:szCs w:val="28"/>
              </w:rPr>
              <w:t>декларация, подтверждающая что эти документы были</w:t>
            </w:r>
            <w:proofErr w:type="gramEnd"/>
            <w:r w:rsidRPr="0015655E">
              <w:rPr>
                <w:rFonts w:ascii="Times New Roman" w:hAnsi="Times New Roman"/>
                <w:sz w:val="28"/>
                <w:szCs w:val="28"/>
              </w:rPr>
              <w:t xml:space="preserve"> включены, в соответствующей форме и в определенном контексте, с согласия лица, удостоверившего содержание данной части примечаний.</w:t>
            </w:r>
          </w:p>
        </w:tc>
      </w:tr>
      <w:tr w:rsidR="00801224" w:rsidRPr="0015655E" w:rsidTr="00B24149">
        <w:trPr>
          <w:trHeight w:val="410"/>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rPr>
                <w:rFonts w:ascii="Times New Roman" w:hAnsi="Times New Roman"/>
                <w:sz w:val="28"/>
                <w:szCs w:val="28"/>
              </w:rPr>
            </w:pPr>
            <w:r w:rsidRPr="0015655E">
              <w:rPr>
                <w:rFonts w:ascii="Times New Roman" w:hAnsi="Times New Roman"/>
                <w:b/>
                <w:bCs/>
                <w:sz w:val="28"/>
                <w:szCs w:val="28"/>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01224" w:rsidRPr="0015655E" w:rsidRDefault="00801224" w:rsidP="00B24149">
            <w:pPr>
              <w:pStyle w:val="NoSpacing"/>
              <w:widowControl w:val="0"/>
              <w:autoSpaceDE w:val="0"/>
              <w:autoSpaceDN w:val="0"/>
              <w:adjustRightInd w:val="0"/>
              <w:ind w:right="283"/>
              <w:jc w:val="both"/>
              <w:rPr>
                <w:rFonts w:ascii="Times New Roman" w:hAnsi="Times New Roman"/>
                <w:sz w:val="28"/>
                <w:szCs w:val="28"/>
              </w:rPr>
            </w:pPr>
            <w:proofErr w:type="gramStart"/>
            <w:r w:rsidRPr="0015655E">
              <w:rPr>
                <w:rFonts w:ascii="Times New Roman" w:hAnsi="Times New Roman"/>
                <w:sz w:val="28"/>
                <w:szCs w:val="28"/>
              </w:rPr>
              <w:t xml:space="preserve">В случае поступления информации от третьего лица, предоставляется подтверждение того, что данная информация была воспроизведена с аккуратностью и что, по сведениям эмитента и в зависимости от того что он в состоянии подтвердить, принимая во внимание сведения, опубликованные соответствующей третьей стороной, не умалчиваются </w:t>
            </w:r>
            <w:r w:rsidRPr="0015655E">
              <w:rPr>
                <w:rFonts w:ascii="Times New Roman" w:hAnsi="Times New Roman"/>
                <w:sz w:val="28"/>
                <w:szCs w:val="28"/>
              </w:rPr>
              <w:lastRenderedPageBreak/>
              <w:t>факты, которые сделали бы воспроизведенную информацию ложной или вводящей в заблуждение.</w:t>
            </w:r>
            <w:proofErr w:type="gramEnd"/>
            <w:r w:rsidRPr="0015655E">
              <w:rPr>
                <w:rFonts w:ascii="Times New Roman" w:hAnsi="Times New Roman"/>
                <w:sz w:val="28"/>
                <w:szCs w:val="28"/>
              </w:rPr>
              <w:t xml:space="preserve"> Указать, также, источник (источники) данной информации.</w:t>
            </w:r>
          </w:p>
        </w:tc>
      </w:tr>
    </w:tbl>
    <w:p w:rsidR="00801224" w:rsidRDefault="00801224"/>
    <w:sectPr w:rsidR="00801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24"/>
    <w:rsid w:val="0080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1224"/>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801224"/>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1224"/>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801224"/>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2358</Words>
  <Characters>13444</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2018-05-29T06:24:00Z</dcterms:created>
  <dcterms:modified xsi:type="dcterms:W3CDTF">2018-05-29T06:25:00Z</dcterms:modified>
</cp:coreProperties>
</file>